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ind w:hanging="0" w:left="5954"/>
        <w:jc w:val="right"/>
        <w:rPr>
          <w:rFonts w:ascii="Times New Roman" w:hAnsi="Times New Roman"/>
        </w:rPr>
      </w:pPr>
      <w:r>
        <w:rPr>
          <w:rFonts w:cs="Arial" w:ascii="Times New Roman" w:hAnsi="Times New Roman"/>
          <w:b/>
        </w:rPr>
        <w:t>УТВЕРЖДАЮ</w:t>
      </w:r>
    </w:p>
    <w:p>
      <w:pPr>
        <w:pStyle w:val="Normal"/>
        <w:spacing w:lineRule="auto" w:line="240" w:before="0" w:after="0"/>
        <w:ind w:hanging="0" w:left="5954"/>
        <w:jc w:val="right"/>
        <w:rPr>
          <w:rFonts w:ascii="Times New Roman" w:hAnsi="Times New Roman"/>
        </w:rPr>
      </w:pPr>
      <w:r>
        <w:rPr>
          <w:rFonts w:cs="Arial" w:ascii="Times New Roman" w:hAnsi="Times New Roman"/>
        </w:rPr>
        <w:t xml:space="preserve">Генеральный директор </w:t>
      </w:r>
    </w:p>
    <w:p>
      <w:pPr>
        <w:pStyle w:val="Normal"/>
        <w:spacing w:lineRule="auto" w:line="240" w:before="0" w:after="0"/>
        <w:ind w:hanging="0" w:left="5954"/>
        <w:jc w:val="right"/>
        <w:rPr>
          <w:rFonts w:ascii="Times New Roman" w:hAnsi="Times New Roman"/>
        </w:rPr>
      </w:pPr>
      <w:r>
        <w:rPr>
          <w:rFonts w:cs="Arial" w:ascii="Times New Roman" w:hAnsi="Times New Roman"/>
        </w:rPr>
        <w:t>ООО «Форте Пром ГмбХ»</w:t>
      </w:r>
    </w:p>
    <w:p>
      <w:pPr>
        <w:pStyle w:val="Normal"/>
        <w:spacing w:lineRule="auto" w:line="240" w:before="0" w:after="0"/>
        <w:ind w:hanging="0" w:left="5954"/>
        <w:jc w:val="right"/>
        <w:rPr>
          <w:rFonts w:ascii="Times New Roman" w:hAnsi="Times New Roman" w:cs="Arial"/>
        </w:rPr>
      </w:pPr>
      <w:r>
        <w:rPr>
          <w:rFonts w:cs="Arial" w:ascii="Times New Roman" w:hAnsi="Times New Roman"/>
        </w:rPr>
      </w:r>
    </w:p>
    <w:p>
      <w:pPr>
        <w:pStyle w:val="Normal"/>
        <w:spacing w:lineRule="auto" w:line="240" w:before="0" w:after="0"/>
        <w:ind w:hanging="0" w:left="5954"/>
        <w:jc w:val="right"/>
        <w:rPr>
          <w:rFonts w:ascii="Times New Roman" w:hAnsi="Times New Roman"/>
        </w:rPr>
      </w:pPr>
      <w:r>
        <w:rPr>
          <w:rFonts w:cs="Arial" w:ascii="Times New Roman" w:hAnsi="Times New Roman"/>
        </w:rPr>
        <w:t>___________ Р.В. Винокуров</w:t>
      </w:r>
    </w:p>
    <w:p>
      <w:pPr>
        <w:pStyle w:val="Normal"/>
        <w:spacing w:lineRule="auto" w:line="240" w:before="0" w:after="0"/>
        <w:ind w:hanging="0" w:left="5954"/>
        <w:jc w:val="right"/>
        <w:rPr>
          <w:rFonts w:ascii="Times New Roman" w:hAnsi="Times New Roman" w:cs="Arial"/>
          <w:bCs/>
        </w:rPr>
      </w:pPr>
      <w:r>
        <w:rPr>
          <w:rFonts w:cs="Arial" w:ascii="Times New Roman" w:hAnsi="Times New Roman"/>
          <w:bCs/>
        </w:rPr>
      </w:r>
    </w:p>
    <w:p>
      <w:pPr>
        <w:pStyle w:val="Normal"/>
        <w:spacing w:lineRule="auto" w:line="240" w:before="0" w:after="0"/>
        <w:ind w:hanging="0" w:left="5954"/>
        <w:jc w:val="right"/>
        <w:rPr>
          <w:rFonts w:ascii="Times New Roman" w:hAnsi="Times New Roman"/>
        </w:rPr>
      </w:pPr>
      <w:r>
        <w:rPr>
          <w:rFonts w:cs="Arial" w:ascii="Times New Roman" w:hAnsi="Times New Roman"/>
          <w:bCs/>
        </w:rPr>
        <w:t>«___»  ______________2025 г.</w:t>
      </w:r>
    </w:p>
    <w:p>
      <w:pPr>
        <w:pStyle w:val="Normal"/>
        <w:spacing w:lineRule="auto" w:line="240" w:before="0" w:after="0"/>
        <w:rPr>
          <w:rFonts w:ascii="Times New Roman" w:hAnsi="Times New Roman" w:cs="Arial"/>
          <w:b/>
        </w:rPr>
      </w:pPr>
      <w:r>
        <w:rPr>
          <w:rFonts w:cs="Arial" w:ascii="Times New Roman" w:hAnsi="Times New Roman"/>
          <w:b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Arial"/>
          <w:b/>
        </w:rPr>
      </w:pPr>
      <w:r>
        <w:rPr>
          <w:rFonts w:cs="Arial" w:ascii="Times New Roman" w:hAnsi="Times New Roman"/>
          <w:b/>
        </w:rPr>
      </w:r>
    </w:p>
    <w:p>
      <w:pPr>
        <w:pStyle w:val="Normal"/>
        <w:spacing w:lineRule="auto" w:line="276" w:before="0" w:after="0"/>
        <w:jc w:val="center"/>
        <w:rPr>
          <w:rFonts w:ascii="Times New Roman" w:hAnsi="Times New Roman"/>
        </w:rPr>
      </w:pPr>
      <w:r>
        <w:rPr>
          <w:rFonts w:cs="Arial" w:ascii="Times New Roman" w:hAnsi="Times New Roman"/>
          <w:b/>
        </w:rPr>
        <w:t>ТЕХНИЧЕСКОЕ ЗАДАНИЕ</w:t>
      </w:r>
    </w:p>
    <w:p>
      <w:pPr>
        <w:pStyle w:val="Normal"/>
        <w:spacing w:lineRule="auto" w:line="276" w:before="0" w:after="0"/>
        <w:jc w:val="center"/>
        <w:rPr>
          <w:rFonts w:ascii="Times New Roman" w:hAnsi="Times New Roman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  <w:t xml:space="preserve">на выполнение </w:t>
      </w:r>
      <w:r>
        <w:rPr>
          <w:rFonts w:cs="Arial" w:ascii="Times New Roman" w:hAnsi="Times New Roman"/>
          <w:bCs/>
          <w:sz w:val="22"/>
          <w:szCs w:val="22"/>
        </w:rPr>
        <w:t xml:space="preserve">работ </w:t>
      </w:r>
      <w:r>
        <w:rPr>
          <w:rFonts w:cs="Arial" w:ascii="Times New Roman" w:hAnsi="Times New Roman"/>
          <w:b/>
          <w:bCs/>
          <w:sz w:val="22"/>
          <w:szCs w:val="22"/>
        </w:rPr>
        <w:t>по строительству пристройки к зданию</w:t>
      </w:r>
    </w:p>
    <w:p>
      <w:pPr>
        <w:pStyle w:val="Normal"/>
        <w:spacing w:lineRule="auto" w:line="276" w:before="0" w:after="0"/>
        <w:ind w:hanging="0" w:left="1276" w:right="567"/>
        <w:jc w:val="center"/>
        <w:rPr>
          <w:rFonts w:ascii="Times New Roman" w:hAnsi="Times New Roman" w:cs="Arial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</w:r>
    </w:p>
    <w:p>
      <w:pPr>
        <w:pStyle w:val="Normal"/>
        <w:spacing w:lineRule="auto" w:line="276" w:before="0" w:after="0"/>
        <w:ind w:firstLine="709"/>
        <w:rPr>
          <w:rFonts w:ascii="Times New Roman" w:hAnsi="Times New Roman"/>
          <w:sz w:val="22"/>
          <w:szCs w:val="22"/>
        </w:rPr>
      </w:pPr>
      <w:r>
        <w:rPr>
          <w:rFonts w:cs="Arial" w:ascii="Times New Roman" w:hAnsi="Times New Roman"/>
          <w:b/>
          <w:sz w:val="22"/>
          <w:szCs w:val="22"/>
        </w:rPr>
        <w:t>1.</w:t>
        <w:tab/>
        <w:t>Общие требования</w:t>
      </w:r>
    </w:p>
    <w:p>
      <w:pPr>
        <w:pStyle w:val="Normal"/>
        <w:spacing w:lineRule="auto" w:line="276" w:before="60" w:after="0"/>
        <w:ind w:firstLine="709"/>
        <w:rPr>
          <w:rFonts w:ascii="Times New Roman" w:hAnsi="Times New Roman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  <w:t>1.1.</w:t>
        <w:tab/>
        <w:t>Место выполнения работ: г. Волгоград, ул. Бахтурова, 12 строение 6</w:t>
      </w:r>
    </w:p>
    <w:p>
      <w:pPr>
        <w:pStyle w:val="Normal"/>
        <w:spacing w:lineRule="auto" w:line="276" w:before="60" w:after="0"/>
        <w:ind w:firstLine="709"/>
        <w:rPr>
          <w:rFonts w:ascii="Times New Roman" w:hAnsi="Times New Roman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  <w:t>1.2.</w:t>
        <w:tab/>
        <w:t xml:space="preserve">Сроки строительства объекта: </w:t>
      </w:r>
    </w:p>
    <w:p>
      <w:pPr>
        <w:pStyle w:val="Normal"/>
        <w:spacing w:lineRule="auto" w:line="276" w:before="60" w:after="0"/>
        <w:ind w:firstLine="709"/>
        <w:rPr>
          <w:rFonts w:ascii="Times New Roman" w:hAnsi="Times New Roman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  <w:t xml:space="preserve">- начало: </w:t>
      </w:r>
      <w:r>
        <w:rPr>
          <w:rFonts w:cs="Arial" w:ascii="Times New Roman" w:hAnsi="Times New Roman"/>
          <w:b/>
          <w:bCs/>
          <w:sz w:val="22"/>
          <w:szCs w:val="22"/>
          <w:u w:val="single"/>
        </w:rPr>
        <w:t>2</w:t>
      </w:r>
      <w:r>
        <w:rPr>
          <w:rFonts w:cs="Arial" w:ascii="Times New Roman" w:hAnsi="Times New Roman"/>
          <w:b/>
          <w:bCs/>
          <w:sz w:val="22"/>
          <w:szCs w:val="22"/>
          <w:u w:val="single"/>
        </w:rPr>
        <w:t>1 апреля 2025 г</w:t>
      </w:r>
      <w:r>
        <w:rPr>
          <w:rFonts w:cs="Arial" w:ascii="Times New Roman" w:hAnsi="Times New Roman"/>
          <w:sz w:val="22"/>
          <w:szCs w:val="22"/>
        </w:rPr>
        <w:t>.</w:t>
      </w:r>
    </w:p>
    <w:p>
      <w:pPr>
        <w:pStyle w:val="Normal"/>
        <w:spacing w:lineRule="auto" w:line="276" w:before="60" w:after="0"/>
        <w:ind w:firstLine="709"/>
        <w:rPr>
          <w:rFonts w:ascii="Times New Roman" w:hAnsi="Times New Roman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  <w:t xml:space="preserve">- окончание: </w:t>
      </w:r>
      <w:r>
        <w:rPr>
          <w:rFonts w:cs="Arial" w:ascii="Times New Roman" w:hAnsi="Times New Roman"/>
          <w:b/>
          <w:bCs/>
          <w:sz w:val="22"/>
          <w:szCs w:val="22"/>
          <w:u w:val="single"/>
        </w:rPr>
        <w:t>2</w:t>
      </w:r>
      <w:r>
        <w:rPr>
          <w:rFonts w:cs="Arial" w:ascii="Times New Roman" w:hAnsi="Times New Roman"/>
          <w:b/>
          <w:bCs/>
          <w:sz w:val="22"/>
          <w:szCs w:val="22"/>
          <w:u w:val="single"/>
        </w:rPr>
        <w:t>1 июля 2025 г.</w:t>
      </w:r>
    </w:p>
    <w:p>
      <w:pPr>
        <w:pStyle w:val="Normal"/>
        <w:spacing w:lineRule="auto" w:line="276" w:before="60" w:after="0"/>
        <w:ind w:firstLine="709"/>
        <w:jc w:val="both"/>
        <w:rPr>
          <w:rFonts w:ascii="Times New Roman" w:hAnsi="Times New Roman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  <w:t>1.3.</w:t>
        <w:tab/>
        <w:t>Требования к наличию лицензий: на выполнение работ по предмету тендера Подрядчик должен иметь свидетельство СРО на допуск к работам, которые оказывают влияние на безопасность объектов капитального строительства, в соответствии с «Перечнем видов работ по строительству, реконструкции, капитальному ремонту объектов капитального строительства», утвержденных Приказом Минрегионразвития РФ №624 от 30.12.2009 г.</w:t>
      </w:r>
    </w:p>
    <w:p>
      <w:pPr>
        <w:pStyle w:val="Normal"/>
        <w:spacing w:lineRule="auto" w:line="276" w:before="60" w:after="0"/>
        <w:ind w:firstLine="709"/>
        <w:jc w:val="both"/>
        <w:rPr>
          <w:rFonts w:ascii="Times New Roman" w:hAnsi="Times New Roman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  <w:t>1.4.</w:t>
        <w:tab/>
        <w:t>Требования к обеспечению техники безопасности (ТБ): при производстве строительно-монтажных работ (СМР) подрядчик обязан соблюдать требования безопасности труда, руководствуясь следующими нормативными документами, включая, но не ограничиваясь:</w:t>
      </w:r>
    </w:p>
    <w:p>
      <w:pPr>
        <w:pStyle w:val="NoSpacing"/>
        <w:numPr>
          <w:ilvl w:val="0"/>
          <w:numId w:val="1"/>
        </w:numPr>
        <w:spacing w:lineRule="auto" w:line="276"/>
        <w:jc w:val="both"/>
        <w:rPr>
          <w:rFonts w:ascii="Times New Roman" w:hAnsi="Times New Roman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  <w:t>СНиП 12-03-2001 «Безопасность труда в строительстве.</w:t>
      </w:r>
      <w:bookmarkStart w:id="0" w:name="_Hlk143785855"/>
      <w:r>
        <w:rPr>
          <w:rFonts w:cs="Arial" w:ascii="Times New Roman" w:hAnsi="Times New Roman"/>
          <w:sz w:val="22"/>
          <w:szCs w:val="22"/>
        </w:rPr>
        <w:t>ч.</w:t>
      </w:r>
      <w:bookmarkEnd w:id="0"/>
      <w:r>
        <w:rPr>
          <w:rFonts w:cs="Arial" w:ascii="Times New Roman" w:hAnsi="Times New Roman"/>
          <w:sz w:val="22"/>
          <w:szCs w:val="22"/>
        </w:rPr>
        <w:t>2»;</w:t>
      </w:r>
    </w:p>
    <w:p>
      <w:pPr>
        <w:pStyle w:val="NoSpacing"/>
        <w:numPr>
          <w:ilvl w:val="0"/>
          <w:numId w:val="1"/>
        </w:numPr>
        <w:spacing w:lineRule="auto" w:line="276"/>
        <w:jc w:val="both"/>
        <w:rPr>
          <w:rFonts w:ascii="Times New Roman" w:hAnsi="Times New Roman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  <w:t>СП 49.13330-2010 «Безопасность труда в строительстве. ч.1»;</w:t>
      </w:r>
    </w:p>
    <w:p>
      <w:pPr>
        <w:pStyle w:val="NoSpacing"/>
        <w:numPr>
          <w:ilvl w:val="0"/>
          <w:numId w:val="1"/>
        </w:numPr>
        <w:spacing w:lineRule="auto" w:line="276"/>
        <w:jc w:val="both"/>
        <w:rPr>
          <w:rFonts w:ascii="Times New Roman" w:hAnsi="Times New Roman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  <w:t>СП 12-136-2002 «Решения по охране труда и промышленной безопасности в проектах организации строительства и проектах производства работ»;</w:t>
      </w:r>
    </w:p>
    <w:p>
      <w:pPr>
        <w:pStyle w:val="NoSpacing"/>
        <w:numPr>
          <w:ilvl w:val="0"/>
          <w:numId w:val="1"/>
        </w:numPr>
        <w:spacing w:lineRule="auto" w:line="276"/>
        <w:jc w:val="both"/>
        <w:rPr>
          <w:rFonts w:ascii="Times New Roman" w:hAnsi="Times New Roman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  <w:t>Федеральные нормы и правила в области промышленной безопасности «Правила безопасности опасных производственных объектов, на которых используются подъемные сооружения»;</w:t>
      </w:r>
    </w:p>
    <w:p>
      <w:pPr>
        <w:pStyle w:val="NoSpacing"/>
        <w:numPr>
          <w:ilvl w:val="0"/>
          <w:numId w:val="1"/>
        </w:numPr>
        <w:spacing w:lineRule="auto" w:line="276"/>
        <w:jc w:val="both"/>
        <w:rPr>
          <w:rFonts w:ascii="Times New Roman" w:hAnsi="Times New Roman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  <w:t>«Правила по охране труда при эксплуатации электроустановок»;</w:t>
      </w:r>
    </w:p>
    <w:p>
      <w:pPr>
        <w:pStyle w:val="NoSpacing"/>
        <w:numPr>
          <w:ilvl w:val="0"/>
          <w:numId w:val="1"/>
        </w:numPr>
        <w:spacing w:lineRule="auto" w:line="276"/>
        <w:jc w:val="both"/>
        <w:rPr>
          <w:rFonts w:ascii="Times New Roman" w:hAnsi="Times New Roman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  <w:t>«Правила противопожарного режима в РФ».</w:t>
      </w:r>
    </w:p>
    <w:p>
      <w:pPr>
        <w:pStyle w:val="Normal"/>
        <w:spacing w:lineRule="auto" w:line="276" w:before="60" w:after="0"/>
        <w:ind w:firstLine="709"/>
        <w:jc w:val="both"/>
        <w:rPr>
          <w:rFonts w:ascii="Times New Roman" w:hAnsi="Times New Roman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  <w:t>1.5.</w:t>
        <w:tab/>
        <w:t>Требования к гарантии на работы:</w:t>
      </w:r>
    </w:p>
    <w:p>
      <w:pPr>
        <w:pStyle w:val="Normal"/>
        <w:spacing w:lineRule="auto" w:line="276" w:before="60" w:after="0"/>
        <w:ind w:firstLine="709"/>
        <w:jc w:val="both"/>
        <w:rPr>
          <w:rFonts w:ascii="Times New Roman" w:hAnsi="Times New Roman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  <w:t>гарантийный срок на выполненные работы – 24 месяца.</w:t>
      </w:r>
    </w:p>
    <w:p>
      <w:pPr>
        <w:pStyle w:val="Normal"/>
        <w:widowControl/>
        <w:suppressAutoHyphens w:val="true"/>
        <w:bidi w:val="0"/>
        <w:spacing w:lineRule="auto" w:line="276" w:before="0" w:after="0"/>
        <w:ind w:right="0"/>
        <w:contextualSpacing/>
        <w:jc w:val="left"/>
        <w:rPr>
          <w:rFonts w:ascii="Times New Roman" w:hAnsi="Times New Roman" w:cs="Times New Roman"/>
          <w:b/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  <w:t xml:space="preserve">          </w:t>
      </w:r>
    </w:p>
    <w:p>
      <w:pPr>
        <w:pStyle w:val="Normal"/>
        <w:widowControl/>
        <w:suppressAutoHyphens w:val="true"/>
        <w:bidi w:val="0"/>
        <w:spacing w:lineRule="auto" w:line="276" w:before="0" w:after="0"/>
        <w:ind w:right="0"/>
        <w:contextualSpacing/>
        <w:jc w:val="left"/>
        <w:rPr>
          <w:rFonts w:ascii="Times New Roman" w:hAnsi="Times New Roman" w:cs="Times New Roman"/>
          <w:b/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  <w:t>2. Наименование (перечень) работ:</w:t>
      </w:r>
    </w:p>
    <w:p>
      <w:pPr>
        <w:pStyle w:val="Normal"/>
        <w:widowControl/>
        <w:suppressAutoHyphens w:val="true"/>
        <w:bidi w:val="0"/>
        <w:spacing w:lineRule="auto" w:line="276" w:before="0" w:after="0"/>
        <w:ind w:right="0"/>
        <w:contextualSpacing/>
        <w:jc w:val="left"/>
        <w:rPr>
          <w:rFonts w:ascii="Times New Roman" w:hAnsi="Times New Roman" w:cs="Times New Roman"/>
          <w:b/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</w:r>
    </w:p>
    <w:p>
      <w:pPr>
        <w:pStyle w:val="Standard"/>
        <w:widowControl w:val="false"/>
        <w:numPr>
          <w:ilvl w:val="0"/>
          <w:numId w:val="4"/>
        </w:numPr>
        <w:spacing w:lineRule="auto" w:line="276"/>
        <w:jc w:val="left"/>
        <w:rPr>
          <w:sz w:val="22"/>
          <w:szCs w:val="22"/>
        </w:rPr>
      </w:pPr>
      <w:r>
        <w:rPr>
          <w:rFonts w:cs="Times New Roman"/>
          <w:sz w:val="22"/>
          <w:szCs w:val="22"/>
          <w:lang w:val="ru-RU"/>
        </w:rPr>
        <w:t>Демонтаж ж.б плиты и асфальтобетонного покрытия 12 м3 с перевозкой до 18 км</w:t>
      </w:r>
    </w:p>
    <w:p>
      <w:pPr>
        <w:pStyle w:val="Standard"/>
        <w:widowControl w:val="false"/>
        <w:numPr>
          <w:ilvl w:val="0"/>
          <w:numId w:val="4"/>
        </w:numPr>
        <w:spacing w:lineRule="auto" w:line="276"/>
        <w:jc w:val="left"/>
        <w:rPr>
          <w:sz w:val="22"/>
          <w:szCs w:val="22"/>
        </w:rPr>
      </w:pPr>
      <w:r>
        <w:rPr>
          <w:rFonts w:cs="Times New Roman"/>
          <w:sz w:val="22"/>
          <w:szCs w:val="22"/>
          <w:lang w:val="ru-RU"/>
        </w:rPr>
        <w:t>Разработка грунта 152 м3 с погрузкой и перевозкой до 18 км.</w:t>
      </w:r>
    </w:p>
    <w:p>
      <w:pPr>
        <w:pStyle w:val="Standard"/>
        <w:widowControl w:val="false"/>
        <w:numPr>
          <w:ilvl w:val="0"/>
          <w:numId w:val="4"/>
        </w:numPr>
        <w:spacing w:lineRule="auto" w:line="276"/>
        <w:jc w:val="left"/>
        <w:rPr>
          <w:sz w:val="22"/>
          <w:szCs w:val="22"/>
        </w:rPr>
      </w:pPr>
      <w:r>
        <w:rPr>
          <w:rFonts w:cs="Times New Roman"/>
          <w:sz w:val="22"/>
          <w:szCs w:val="22"/>
          <w:lang w:val="ru-RU"/>
        </w:rPr>
        <w:t>Устройство ленточного фундамента 58 м3 с установкой анкерных болтов.</w:t>
      </w:r>
    </w:p>
    <w:p>
      <w:pPr>
        <w:pStyle w:val="Standard"/>
        <w:widowControl w:val="false"/>
        <w:numPr>
          <w:ilvl w:val="0"/>
          <w:numId w:val="4"/>
        </w:numPr>
        <w:spacing w:lineRule="auto" w:line="276"/>
        <w:jc w:val="left"/>
        <w:rPr>
          <w:sz w:val="22"/>
          <w:szCs w:val="22"/>
        </w:rPr>
      </w:pPr>
      <w:r>
        <w:rPr>
          <w:rFonts w:cs="Times New Roman"/>
          <w:sz w:val="22"/>
          <w:szCs w:val="22"/>
          <w:lang w:val="ru-RU"/>
        </w:rPr>
        <w:t>Устройство песчаного основания под полы - 70 м3</w:t>
      </w:r>
    </w:p>
    <w:p>
      <w:pPr>
        <w:pStyle w:val="Standard"/>
        <w:widowControl w:val="false"/>
        <w:numPr>
          <w:ilvl w:val="0"/>
          <w:numId w:val="4"/>
        </w:numPr>
        <w:spacing w:lineRule="auto" w:line="276"/>
        <w:jc w:val="left"/>
        <w:rPr>
          <w:sz w:val="22"/>
          <w:szCs w:val="22"/>
        </w:rPr>
      </w:pPr>
      <w:r>
        <w:rPr>
          <w:rFonts w:cs="Times New Roman"/>
          <w:sz w:val="22"/>
          <w:szCs w:val="22"/>
          <w:lang w:val="ru-RU"/>
        </w:rPr>
        <w:t>Устройство фундаментной плиты — 54 м3.</w:t>
      </w:r>
    </w:p>
    <w:p>
      <w:pPr>
        <w:pStyle w:val="Standard"/>
        <w:widowControl w:val="false"/>
        <w:numPr>
          <w:ilvl w:val="0"/>
          <w:numId w:val="4"/>
        </w:numPr>
        <w:spacing w:lineRule="auto" w:line="276"/>
        <w:jc w:val="left"/>
        <w:rPr>
          <w:sz w:val="22"/>
          <w:szCs w:val="22"/>
        </w:rPr>
      </w:pPr>
      <w:r>
        <w:rPr>
          <w:rFonts w:cs="Times New Roman"/>
          <w:sz w:val="22"/>
          <w:szCs w:val="22"/>
          <w:lang w:val="ru-RU"/>
        </w:rPr>
        <w:t>Изготовление и монтаж металлоконструкции с АКЗ согласно чертежам КМ 11.65тн</w:t>
      </w:r>
    </w:p>
    <w:p>
      <w:pPr>
        <w:pStyle w:val="Standard"/>
        <w:widowControl w:val="false"/>
        <w:numPr>
          <w:ilvl w:val="0"/>
          <w:numId w:val="4"/>
        </w:numPr>
        <w:spacing w:lineRule="auto" w:line="276"/>
        <w:jc w:val="left"/>
        <w:rPr>
          <w:sz w:val="22"/>
          <w:szCs w:val="22"/>
        </w:rPr>
      </w:pPr>
      <w:r>
        <w:rPr>
          <w:rFonts w:cs="Times New Roman"/>
          <w:sz w:val="22"/>
          <w:szCs w:val="22"/>
          <w:lang w:val="ru-RU"/>
        </w:rPr>
        <w:t>Монтаж кровельных Сэндвич-панелей  - 347 м2</w:t>
      </w:r>
    </w:p>
    <w:p>
      <w:pPr>
        <w:pStyle w:val="Standard"/>
        <w:widowControl w:val="false"/>
        <w:numPr>
          <w:ilvl w:val="0"/>
          <w:numId w:val="4"/>
        </w:numPr>
        <w:spacing w:lineRule="auto" w:line="276"/>
        <w:jc w:val="left"/>
        <w:rPr>
          <w:sz w:val="22"/>
          <w:szCs w:val="22"/>
        </w:rPr>
      </w:pPr>
      <w:r>
        <w:rPr>
          <w:rFonts w:cs="Times New Roman"/>
          <w:sz w:val="22"/>
          <w:szCs w:val="22"/>
          <w:lang w:val="ru-RU"/>
        </w:rPr>
        <w:t>Монтаж становых Сэндвич- панелей 163м2 с установкой фасонных элементов - 210 м2</w:t>
      </w:r>
    </w:p>
    <w:p>
      <w:pPr>
        <w:pStyle w:val="Standard"/>
        <w:widowControl w:val="false"/>
        <w:numPr>
          <w:ilvl w:val="0"/>
          <w:numId w:val="4"/>
        </w:numPr>
        <w:spacing w:lineRule="auto" w:line="276"/>
        <w:jc w:val="left"/>
        <w:rPr>
          <w:sz w:val="22"/>
          <w:szCs w:val="22"/>
        </w:rPr>
      </w:pPr>
      <w:r>
        <w:rPr>
          <w:rFonts w:cs="Times New Roman"/>
          <w:sz w:val="22"/>
          <w:szCs w:val="22"/>
          <w:lang w:val="ru-RU"/>
        </w:rPr>
        <w:t>Установка водосточной системы - 57 м.п.</w:t>
      </w:r>
    </w:p>
    <w:p>
      <w:pPr>
        <w:pStyle w:val="Standard"/>
        <w:widowControl w:val="false"/>
        <w:numPr>
          <w:ilvl w:val="0"/>
          <w:numId w:val="4"/>
        </w:numPr>
        <w:spacing w:lineRule="auto" w:line="276"/>
        <w:jc w:val="left"/>
        <w:rPr>
          <w:sz w:val="22"/>
          <w:szCs w:val="22"/>
        </w:rPr>
      </w:pPr>
      <w:r>
        <w:rPr>
          <w:rFonts w:cs="Times New Roman"/>
          <w:sz w:val="22"/>
          <w:szCs w:val="22"/>
          <w:lang w:val="ru-RU"/>
        </w:rPr>
        <w:t>Установка Окон — 24 м2.</w:t>
      </w:r>
    </w:p>
    <w:p>
      <w:pPr>
        <w:pStyle w:val="Standard"/>
        <w:widowControl w:val="false"/>
        <w:numPr>
          <w:ilvl w:val="0"/>
          <w:numId w:val="4"/>
        </w:numPr>
        <w:spacing w:lineRule="auto" w:line="276"/>
        <w:jc w:val="left"/>
        <w:rPr>
          <w:sz w:val="22"/>
          <w:szCs w:val="22"/>
        </w:rPr>
      </w:pPr>
      <w:r>
        <w:rPr>
          <w:rFonts w:cs="Times New Roman"/>
          <w:b w:val="false"/>
          <w:i w:val="false"/>
          <w:strike w:val="false"/>
          <w:dstrike w:val="false"/>
          <w:outline w:val="false"/>
          <w:shadow w:val="false"/>
          <w:sz w:val="22"/>
          <w:szCs w:val="22"/>
          <w:u w:val="none"/>
          <w:em w:val="none"/>
          <w:lang w:val="ru-RU"/>
        </w:rPr>
        <w:t>Установка дверей — 5.47 м2. С доводчиками</w:t>
      </w:r>
    </w:p>
    <w:p>
      <w:pPr>
        <w:pStyle w:val="Standard"/>
        <w:widowControl w:val="false"/>
        <w:numPr>
          <w:ilvl w:val="0"/>
          <w:numId w:val="4"/>
        </w:numPr>
        <w:spacing w:lineRule="auto" w:line="276"/>
        <w:jc w:val="left"/>
        <w:rPr>
          <w:sz w:val="22"/>
          <w:szCs w:val="22"/>
        </w:rPr>
      </w:pPr>
      <w:r>
        <w:rPr>
          <w:rFonts w:cs="Times New Roman"/>
          <w:sz w:val="22"/>
          <w:szCs w:val="22"/>
          <w:lang w:val="ru-RU"/>
        </w:rPr>
        <w:t>Труба ПВХ канализационная 60 м.п + 12 трайников.</w:t>
      </w:r>
    </w:p>
    <w:p>
      <w:pPr>
        <w:pStyle w:val="Standard"/>
        <w:widowControl w:val="false"/>
        <w:numPr>
          <w:ilvl w:val="0"/>
          <w:numId w:val="4"/>
        </w:numPr>
        <w:spacing w:lineRule="auto" w:line="276"/>
        <w:jc w:val="left"/>
        <w:rPr>
          <w:sz w:val="22"/>
          <w:szCs w:val="22"/>
        </w:rPr>
      </w:pPr>
      <w:r>
        <w:rPr>
          <w:rFonts w:cs="Times New Roman"/>
          <w:b w:val="false"/>
          <w:i w:val="false"/>
          <w:strike w:val="false"/>
          <w:dstrike w:val="false"/>
          <w:outline w:val="false"/>
          <w:shadow w:val="false"/>
          <w:sz w:val="22"/>
          <w:szCs w:val="22"/>
          <w:u w:val="none"/>
          <w:em w:val="none"/>
          <w:lang w:val="ru-RU"/>
        </w:rPr>
        <w:t>Установка Ж.Б колодцев КС-15-9 2шт. 2 пп-1 шт. Пдк-1шт. 1 люк чугунный.</w:t>
      </w:r>
    </w:p>
    <w:p>
      <w:pPr>
        <w:pStyle w:val="Normal"/>
        <w:spacing w:lineRule="auto" w:line="276" w:before="0" w:after="0"/>
        <w:ind w:firstLine="851" w:right="0"/>
        <w:contextualSpacing/>
        <w:jc w:val="left"/>
        <w:rPr>
          <w:rFonts w:cs="Times New Roman"/>
        </w:rPr>
      </w:pPr>
      <w:r>
        <w:rPr>
          <w:rFonts w:cs="Times New Roman"/>
        </w:rPr>
      </w:r>
      <w:bookmarkStart w:id="1" w:name="_Hlk160545139"/>
      <w:bookmarkStart w:id="2" w:name="_Hlk160545139"/>
      <w:bookmarkEnd w:id="2"/>
    </w:p>
    <w:p>
      <w:pPr>
        <w:pStyle w:val="Normal"/>
        <w:spacing w:lineRule="auto" w:line="276" w:before="0" w:after="0"/>
        <w:ind w:firstLine="851" w:right="0"/>
        <w:contextualSpacing/>
        <w:jc w:val="left"/>
        <w:rPr>
          <w:rFonts w:ascii="Times New Roman" w:hAnsi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 xml:space="preserve">4.2 </w:t>
      </w:r>
      <w:r>
        <w:rPr>
          <w:rFonts w:cs="Times New Roman" w:ascii="Times New Roman" w:hAnsi="Times New Roman"/>
          <w:color w:val="000000"/>
          <w:sz w:val="22"/>
          <w:szCs w:val="22"/>
        </w:rPr>
        <w:t>В</w:t>
      </w:r>
      <w:r>
        <w:rPr>
          <w:rFonts w:cs="Times New Roman" w:ascii="Times New Roman" w:hAnsi="Times New Roman"/>
          <w:sz w:val="22"/>
          <w:szCs w:val="22"/>
        </w:rPr>
        <w:t xml:space="preserve">ыполнение работ Исполнителем в объеме, достаточном </w:t>
      </w:r>
      <w:r>
        <w:rPr>
          <w:rFonts w:cs="Times New Roman" w:ascii="Times New Roman" w:hAnsi="Times New Roman"/>
          <w:sz w:val="22"/>
          <w:szCs w:val="22"/>
          <w:shd w:fill="FFFFFF" w:val="clear"/>
        </w:rPr>
        <w:t>для ввода в эксплуатацию производственного корпуса  без каких-либо дополнительных работ и затрат со стороны Заказчика.</w:t>
      </w:r>
    </w:p>
    <w:p>
      <w:pPr>
        <w:pStyle w:val="Normal"/>
        <w:spacing w:lineRule="auto" w:line="276" w:before="0" w:after="0"/>
        <w:ind w:firstLine="851" w:right="0"/>
        <w:contextualSpacing/>
        <w:jc w:val="left"/>
        <w:rPr>
          <w:rFonts w:cs="Times New Roman"/>
          <w:shd w:fill="FFFFFF" w:val="clear"/>
        </w:rPr>
      </w:pPr>
      <w:r>
        <w:rPr>
          <w:rFonts w:cs="Times New Roman"/>
          <w:shd w:fill="FFFFFF" w:val="clear"/>
        </w:rPr>
      </w:r>
    </w:p>
    <w:p>
      <w:pPr>
        <w:pStyle w:val="Normal"/>
        <w:spacing w:lineRule="auto" w:line="276" w:before="0" w:after="0"/>
        <w:rPr>
          <w:rFonts w:ascii="Times New Roman" w:hAnsi="Times New Roman"/>
        </w:rPr>
      </w:pPr>
      <w:r>
        <w:rPr>
          <w:rFonts w:cs="Arial" w:ascii="Times New Roman" w:hAnsi="Times New Roman"/>
        </w:rPr>
        <w:t xml:space="preserve">           </w:t>
      </w:r>
      <w:r>
        <w:rPr>
          <w:rFonts w:cs="Arial" w:ascii="Times New Roman" w:hAnsi="Times New Roman"/>
          <w:b/>
          <w:bCs/>
        </w:rPr>
        <w:t xml:space="preserve"> </w:t>
      </w:r>
      <w:r>
        <w:rPr>
          <w:rFonts w:cs="Arial" w:ascii="Times New Roman" w:hAnsi="Times New Roman"/>
          <w:b/>
          <w:bCs/>
        </w:rPr>
        <w:t xml:space="preserve">3.   </w:t>
      </w:r>
      <w:r>
        <w:rPr>
          <w:rFonts w:cs="Arial" w:ascii="Times New Roman" w:hAnsi="Times New Roman"/>
          <w:b/>
        </w:rPr>
        <w:t>Требования к выполнению работ.</w:t>
      </w:r>
    </w:p>
    <w:p>
      <w:pPr>
        <w:pStyle w:val="Normal"/>
        <w:tabs>
          <w:tab w:val="clear" w:pos="708"/>
          <w:tab w:val="left" w:pos="1276" w:leader="none"/>
        </w:tabs>
        <w:spacing w:lineRule="auto" w:line="276" w:before="60" w:after="0"/>
        <w:ind w:firstLine="709"/>
        <w:jc w:val="both"/>
        <w:rPr>
          <w:rFonts w:ascii="Times New Roman" w:hAnsi="Times New Roman"/>
        </w:rPr>
      </w:pPr>
      <w:r>
        <w:rPr>
          <w:rFonts w:cs="Arial" w:ascii="Times New Roman" w:hAnsi="Times New Roman"/>
        </w:rPr>
        <w:t>3.1.</w:t>
        <w:tab/>
        <w:t>Строительно-монтажные работы следует выполнять в соответствии со следующими документами:</w:t>
      </w:r>
    </w:p>
    <w:p>
      <w:pPr>
        <w:pStyle w:val="NoSpacing"/>
        <w:numPr>
          <w:ilvl w:val="0"/>
          <w:numId w:val="2"/>
        </w:numPr>
        <w:spacing w:lineRule="auto" w:line="276"/>
        <w:jc w:val="both"/>
        <w:rPr>
          <w:rFonts w:ascii="Times New Roman" w:hAnsi="Times New Roman"/>
        </w:rPr>
      </w:pPr>
      <w:r>
        <w:rPr>
          <w:rFonts w:cs="Arial" w:ascii="Times New Roman" w:hAnsi="Times New Roman"/>
        </w:rPr>
        <w:t>ФНП «Правила безопасности химически опасных производственных объектов» (приказ №500 от 07.12.2020г.);</w:t>
      </w:r>
    </w:p>
    <w:p>
      <w:pPr>
        <w:pStyle w:val="NoSpacing"/>
        <w:numPr>
          <w:ilvl w:val="0"/>
          <w:numId w:val="2"/>
        </w:numPr>
        <w:spacing w:lineRule="auto" w:line="276"/>
        <w:jc w:val="both"/>
        <w:rPr>
          <w:rFonts w:ascii="Times New Roman" w:hAnsi="Times New Roman"/>
        </w:rPr>
      </w:pPr>
      <w:r>
        <w:rPr>
          <w:rFonts w:cs="Arial" w:ascii="Times New Roman" w:hAnsi="Times New Roman"/>
        </w:rPr>
        <w:t>Проект организации строительства;</w:t>
      </w:r>
    </w:p>
    <w:p>
      <w:pPr>
        <w:pStyle w:val="NoSpacing"/>
        <w:numPr>
          <w:ilvl w:val="0"/>
          <w:numId w:val="2"/>
        </w:numPr>
        <w:spacing w:lineRule="auto" w:line="276"/>
        <w:jc w:val="both"/>
        <w:rPr>
          <w:rFonts w:ascii="Times New Roman" w:hAnsi="Times New Roman"/>
        </w:rPr>
      </w:pPr>
      <w:r>
        <w:rPr>
          <w:rFonts w:cs="Arial" w:ascii="Times New Roman" w:hAnsi="Times New Roman"/>
        </w:rPr>
        <w:t>СП 16.13330.2017 «Стальные конструкции»;</w:t>
      </w:r>
    </w:p>
    <w:p>
      <w:pPr>
        <w:pStyle w:val="NoSpacing"/>
        <w:numPr>
          <w:ilvl w:val="0"/>
          <w:numId w:val="2"/>
        </w:numPr>
        <w:spacing w:lineRule="auto" w:line="276"/>
        <w:jc w:val="both"/>
        <w:rPr>
          <w:rFonts w:ascii="Times New Roman" w:hAnsi="Times New Roman"/>
        </w:rPr>
      </w:pPr>
      <w:r>
        <w:rPr>
          <w:rFonts w:cs="Arial" w:ascii="Times New Roman" w:hAnsi="Times New Roman"/>
        </w:rPr>
        <w:t>СП 48.13330.2019 «Организация строительства»;</w:t>
      </w:r>
    </w:p>
    <w:p>
      <w:pPr>
        <w:pStyle w:val="NoSpacing"/>
        <w:numPr>
          <w:ilvl w:val="0"/>
          <w:numId w:val="2"/>
        </w:numPr>
        <w:spacing w:lineRule="auto" w:line="276"/>
        <w:jc w:val="both"/>
        <w:rPr>
          <w:rFonts w:ascii="Times New Roman" w:hAnsi="Times New Roman"/>
        </w:rPr>
      </w:pPr>
      <w:r>
        <w:rPr>
          <w:rFonts w:cs="Arial" w:ascii="Times New Roman" w:hAnsi="Times New Roman"/>
        </w:rPr>
        <w:t>СП 45.13330.2017 «Земляные сооружения, основания и фундаменты»;</w:t>
      </w:r>
    </w:p>
    <w:p>
      <w:pPr>
        <w:pStyle w:val="NoSpacing"/>
        <w:numPr>
          <w:ilvl w:val="0"/>
          <w:numId w:val="2"/>
        </w:numPr>
        <w:spacing w:lineRule="auto" w:line="276"/>
        <w:jc w:val="both"/>
        <w:rPr>
          <w:rFonts w:ascii="Times New Roman" w:hAnsi="Times New Roman"/>
        </w:rPr>
      </w:pPr>
      <w:r>
        <w:rPr>
          <w:rFonts w:cs="Arial" w:ascii="Times New Roman" w:hAnsi="Times New Roman"/>
        </w:rPr>
        <w:t>СП 70.13330.2012 «Несущие и ограждающие конструкции»;</w:t>
      </w:r>
    </w:p>
    <w:p>
      <w:pPr>
        <w:pStyle w:val="NoSpacing"/>
        <w:numPr>
          <w:ilvl w:val="0"/>
          <w:numId w:val="2"/>
        </w:numPr>
        <w:spacing w:lineRule="auto" w:line="276"/>
        <w:jc w:val="both"/>
        <w:rPr>
          <w:rFonts w:ascii="Times New Roman" w:hAnsi="Times New Roman"/>
        </w:rPr>
      </w:pPr>
      <w:r>
        <w:rPr>
          <w:rFonts w:cs="Arial" w:ascii="Times New Roman" w:hAnsi="Times New Roman"/>
        </w:rPr>
        <w:t>СП 20.13330.2011 «Нагрузки и воздействия»;</w:t>
      </w:r>
    </w:p>
    <w:p>
      <w:pPr>
        <w:pStyle w:val="NoSpacing"/>
        <w:numPr>
          <w:ilvl w:val="0"/>
          <w:numId w:val="2"/>
        </w:numPr>
        <w:spacing w:lineRule="auto" w:line="276"/>
        <w:jc w:val="both"/>
        <w:rPr>
          <w:rFonts w:ascii="Times New Roman" w:hAnsi="Times New Roman"/>
        </w:rPr>
      </w:pPr>
      <w:r>
        <w:rPr>
          <w:rFonts w:cs="Arial" w:ascii="Times New Roman" w:hAnsi="Times New Roman"/>
        </w:rPr>
        <w:t>СП 27.13330.2011 «Бетонные и железобетонные конструкции»;</w:t>
      </w:r>
    </w:p>
    <w:p>
      <w:pPr>
        <w:pStyle w:val="NoSpacing"/>
        <w:numPr>
          <w:ilvl w:val="0"/>
          <w:numId w:val="2"/>
        </w:numPr>
        <w:spacing w:lineRule="auto" w:line="276"/>
        <w:jc w:val="both"/>
        <w:rPr>
          <w:rFonts w:ascii="Times New Roman" w:hAnsi="Times New Roman"/>
        </w:rPr>
      </w:pPr>
      <w:r>
        <w:rPr>
          <w:rFonts w:cs="Arial" w:ascii="Times New Roman" w:hAnsi="Times New Roman"/>
        </w:rPr>
        <w:t>СП 28.13330.2017 «Защита строительных конструкций от коррозии»;</w:t>
      </w:r>
    </w:p>
    <w:p>
      <w:pPr>
        <w:pStyle w:val="NoSpacing"/>
        <w:numPr>
          <w:ilvl w:val="0"/>
          <w:numId w:val="2"/>
        </w:numPr>
        <w:spacing w:lineRule="auto" w:line="276"/>
        <w:jc w:val="both"/>
        <w:rPr>
          <w:rFonts w:ascii="Times New Roman" w:hAnsi="Times New Roman"/>
        </w:rPr>
      </w:pPr>
      <w:r>
        <w:rPr>
          <w:rFonts w:cs="Arial" w:ascii="Times New Roman" w:hAnsi="Times New Roman"/>
        </w:rPr>
        <w:t>СП 56.13330.2011 «Производственные здания»;</w:t>
      </w:r>
    </w:p>
    <w:p>
      <w:pPr>
        <w:pStyle w:val="NoSpacing"/>
        <w:numPr>
          <w:ilvl w:val="0"/>
          <w:numId w:val="2"/>
        </w:numPr>
        <w:spacing w:lineRule="auto" w:line="276"/>
        <w:jc w:val="both"/>
        <w:rPr>
          <w:rFonts w:ascii="Times New Roman" w:hAnsi="Times New Roman"/>
        </w:rPr>
      </w:pPr>
      <w:r>
        <w:rPr>
          <w:rFonts w:cs="Arial" w:ascii="Times New Roman" w:hAnsi="Times New Roman"/>
        </w:rPr>
        <w:t>СП 43.13330.2012 «Сооружения промышленных предприятий»;</w:t>
      </w:r>
    </w:p>
    <w:p>
      <w:pPr>
        <w:pStyle w:val="NoSpacing"/>
        <w:numPr>
          <w:ilvl w:val="0"/>
          <w:numId w:val="2"/>
        </w:numPr>
        <w:spacing w:lineRule="auto" w:line="276"/>
        <w:jc w:val="both"/>
        <w:rPr>
          <w:rFonts w:ascii="Times New Roman" w:hAnsi="Times New Roman"/>
        </w:rPr>
      </w:pPr>
      <w:r>
        <w:rPr>
          <w:rFonts w:cs="Arial" w:ascii="Times New Roman" w:hAnsi="Times New Roman"/>
        </w:rPr>
        <w:t>СП 76.13330.2016 «Электротехнические устройства» - актуализированная редакция СНиП 3.05.06-85;</w:t>
      </w:r>
    </w:p>
    <w:p>
      <w:pPr>
        <w:pStyle w:val="ListParagraph"/>
        <w:numPr>
          <w:ilvl w:val="0"/>
          <w:numId w:val="2"/>
        </w:numPr>
        <w:spacing w:lineRule="auto" w:line="276"/>
        <w:jc w:val="both"/>
        <w:rPr>
          <w:rFonts w:ascii="Times New Roman" w:hAnsi="Times New Roman"/>
        </w:rPr>
      </w:pPr>
      <w:r>
        <w:rPr>
          <w:rFonts w:cs="Arial" w:ascii="Times New Roman" w:hAnsi="Times New Roman"/>
          <w:shd w:fill="FFFFFF" w:val="clear"/>
        </w:rPr>
        <w:t>СП 485.1311500.2020</w:t>
      </w:r>
      <w:r>
        <w:rPr>
          <w:rFonts w:cs="Arial" w:ascii="Times New Roman" w:hAnsi="Times New Roman"/>
          <w:lang w:eastAsia="en-US"/>
        </w:rPr>
        <w:t xml:space="preserve"> «Системы противопожарной защиты. Системы пожарной сигнализации и автоматизация систем противопожарной защиты. Нормы и правила проектирования»;</w:t>
      </w:r>
    </w:p>
    <w:p>
      <w:pPr>
        <w:pStyle w:val="ListParagraph"/>
        <w:numPr>
          <w:ilvl w:val="0"/>
          <w:numId w:val="2"/>
        </w:numPr>
        <w:spacing w:lineRule="auto" w:line="276"/>
        <w:rPr>
          <w:rFonts w:ascii="Times New Roman" w:hAnsi="Times New Roman"/>
        </w:rPr>
      </w:pPr>
      <w:r>
        <w:rPr>
          <w:rFonts w:cs="Arial" w:ascii="Times New Roman" w:hAnsi="Times New Roman"/>
        </w:rPr>
        <w:t xml:space="preserve"> </w:t>
      </w:r>
      <w:r>
        <w:rPr>
          <w:rFonts w:cs="Arial" w:ascii="Times New Roman" w:hAnsi="Times New Roman"/>
        </w:rPr>
        <w:t>ПУЭ-7 - «Правила устройства электроустановок»;</w:t>
      </w:r>
    </w:p>
    <w:p>
      <w:pPr>
        <w:pStyle w:val="ListParagraph"/>
        <w:numPr>
          <w:ilvl w:val="0"/>
          <w:numId w:val="2"/>
        </w:numPr>
        <w:spacing w:lineRule="auto" w:line="276"/>
        <w:rPr>
          <w:rFonts w:ascii="Times New Roman" w:hAnsi="Times New Roman"/>
        </w:rPr>
      </w:pPr>
      <w:r>
        <w:rPr>
          <w:rFonts w:cs="Arial" w:ascii="Times New Roman" w:hAnsi="Times New Roman"/>
        </w:rPr>
        <w:t>ГОСТ 31565-2012 -«Кабельные изделия. Требования пожарной безопасности».</w:t>
      </w:r>
    </w:p>
    <w:p>
      <w:pPr>
        <w:pStyle w:val="ListParagraph"/>
        <w:numPr>
          <w:ilvl w:val="0"/>
          <w:numId w:val="2"/>
        </w:numPr>
        <w:spacing w:lineRule="auto" w:line="276"/>
        <w:jc w:val="both"/>
        <w:rPr>
          <w:rFonts w:ascii="Times New Roman" w:hAnsi="Times New Roman"/>
        </w:rPr>
      </w:pPr>
      <w:r>
        <w:rPr>
          <w:rFonts w:cs="Arial" w:ascii="Times New Roman" w:hAnsi="Times New Roman"/>
        </w:rPr>
        <w:t xml:space="preserve"> </w:t>
      </w:r>
      <w:r>
        <w:rPr>
          <w:rFonts w:cs="Arial" w:ascii="Times New Roman" w:hAnsi="Times New Roman"/>
        </w:rPr>
        <w:t>«Правила защиты от статического электричества в производствах химической и нефтеперерабатывающей промышленности»;</w:t>
      </w:r>
    </w:p>
    <w:p>
      <w:pPr>
        <w:pStyle w:val="ListParagraph"/>
        <w:numPr>
          <w:ilvl w:val="0"/>
          <w:numId w:val="2"/>
        </w:numPr>
        <w:spacing w:lineRule="auto" w:line="276"/>
        <w:rPr>
          <w:rFonts w:ascii="Times New Roman" w:hAnsi="Times New Roman"/>
        </w:rPr>
      </w:pPr>
      <w:r>
        <w:rPr>
          <w:rFonts w:cs="Arial" w:ascii="Times New Roman" w:hAnsi="Times New Roman"/>
        </w:rPr>
        <w:t xml:space="preserve"> </w:t>
      </w:r>
      <w:r>
        <w:rPr>
          <w:rFonts w:cs="Arial" w:ascii="Times New Roman" w:hAnsi="Times New Roman"/>
        </w:rPr>
        <w:t>Паспорта и инструкции заводов изготовителей оборудования.</w:t>
      </w:r>
    </w:p>
    <w:p>
      <w:pPr>
        <w:pStyle w:val="Normal"/>
        <w:spacing w:lineRule="auto" w:line="276" w:before="60" w:after="0"/>
        <w:ind w:firstLine="709"/>
        <w:jc w:val="both"/>
        <w:rPr>
          <w:rFonts w:ascii="Times New Roman" w:hAnsi="Times New Roman"/>
        </w:rPr>
      </w:pPr>
      <w:r>
        <w:rPr>
          <w:rFonts w:cs="Arial" w:ascii="Times New Roman" w:hAnsi="Times New Roman"/>
        </w:rPr>
        <w:t>Подрядчик разрабатывает и согласовывает с Заказчиком проект производства работ (ППР). До начала работ для оформления наряда или акта-допуска Подрядчик представляет Заказчику:</w:t>
      </w:r>
    </w:p>
    <w:p>
      <w:pPr>
        <w:pStyle w:val="Normal"/>
        <w:numPr>
          <w:ilvl w:val="0"/>
          <w:numId w:val="3"/>
        </w:numPr>
        <w:spacing w:lineRule="auto" w:line="276" w:before="60" w:after="0"/>
        <w:rPr>
          <w:rFonts w:ascii="Times New Roman" w:hAnsi="Times New Roman"/>
        </w:rPr>
      </w:pPr>
      <w:r>
        <w:rPr>
          <w:rFonts w:cs="Arial" w:ascii="Times New Roman" w:hAnsi="Times New Roman"/>
        </w:rPr>
        <w:t>ППР, согласованный с Заказчиком;</w:t>
      </w:r>
    </w:p>
    <w:p>
      <w:pPr>
        <w:pStyle w:val="Normal"/>
        <w:numPr>
          <w:ilvl w:val="0"/>
          <w:numId w:val="3"/>
        </w:numPr>
        <w:spacing w:lineRule="auto" w:line="276" w:before="0" w:after="0"/>
        <w:ind w:hanging="357" w:left="1066"/>
        <w:rPr>
          <w:rFonts w:ascii="Times New Roman" w:hAnsi="Times New Roman"/>
        </w:rPr>
      </w:pPr>
      <w:r>
        <w:rPr>
          <w:rFonts w:cs="Arial" w:ascii="Times New Roman" w:hAnsi="Times New Roman"/>
        </w:rPr>
        <w:t>приказ о назначении и список ответственных лиц за производство работ;</w:t>
      </w:r>
    </w:p>
    <w:p>
      <w:pPr>
        <w:pStyle w:val="Normal"/>
        <w:numPr>
          <w:ilvl w:val="0"/>
          <w:numId w:val="3"/>
        </w:numPr>
        <w:spacing w:lineRule="auto" w:line="276" w:before="0" w:after="0"/>
        <w:ind w:hanging="357" w:left="1066"/>
        <w:rPr>
          <w:rFonts w:ascii="Times New Roman" w:hAnsi="Times New Roman"/>
        </w:rPr>
      </w:pPr>
      <w:r>
        <w:rPr>
          <w:rFonts w:cs="Arial" w:ascii="Times New Roman" w:hAnsi="Times New Roman"/>
        </w:rPr>
        <w:t>разрешение на производство СМР на территории ООО «Форте Пром ГмбХ», согласованное отделом ОТ и ТБ ООО «Форте Пром Гмбх»», согласно положению ОКС;</w:t>
      </w:r>
    </w:p>
    <w:p>
      <w:pPr>
        <w:pStyle w:val="Normal"/>
        <w:numPr>
          <w:ilvl w:val="0"/>
          <w:numId w:val="3"/>
        </w:numPr>
        <w:spacing w:lineRule="auto" w:line="276" w:before="0" w:after="0"/>
        <w:ind w:hanging="357" w:left="1066"/>
        <w:rPr>
          <w:rFonts w:ascii="Times New Roman" w:hAnsi="Times New Roman"/>
        </w:rPr>
      </w:pPr>
      <w:r>
        <w:rPr>
          <w:rFonts w:cs="Arial" w:ascii="Times New Roman" w:hAnsi="Times New Roman"/>
        </w:rPr>
        <w:t>разрешение на производство земляных работ.</w:t>
      </w:r>
    </w:p>
    <w:p>
      <w:pPr>
        <w:pStyle w:val="Normal"/>
        <w:tabs>
          <w:tab w:val="clear" w:pos="708"/>
          <w:tab w:val="left" w:pos="1276" w:leader="none"/>
        </w:tabs>
        <w:spacing w:lineRule="auto" w:line="276" w:before="60" w:after="0"/>
        <w:ind w:firstLine="709"/>
        <w:rPr>
          <w:rFonts w:ascii="Times New Roman" w:hAnsi="Times New Roman"/>
        </w:rPr>
      </w:pPr>
      <w:r>
        <w:rPr>
          <w:rFonts w:cs="Arial" w:ascii="Times New Roman" w:hAnsi="Times New Roman"/>
        </w:rPr>
        <w:t>3.2</w:t>
        <w:tab/>
        <w:t>Организация рабочих мест.</w:t>
      </w:r>
    </w:p>
    <w:p>
      <w:pPr>
        <w:pStyle w:val="Normal"/>
        <w:tabs>
          <w:tab w:val="clear" w:pos="708"/>
          <w:tab w:val="left" w:pos="1276" w:leader="none"/>
        </w:tabs>
        <w:spacing w:lineRule="auto" w:line="276" w:before="60" w:after="0"/>
        <w:ind w:firstLine="709"/>
        <w:jc w:val="both"/>
        <w:rPr>
          <w:rFonts w:ascii="Times New Roman" w:hAnsi="Times New Roman"/>
        </w:rPr>
      </w:pPr>
      <w:r>
        <w:rPr>
          <w:rFonts w:cs="Arial" w:ascii="Times New Roman" w:hAnsi="Times New Roman"/>
        </w:rPr>
        <w:t>Организация рабочих мест должна обеспечить безопасное ведение работ. Рабочие места должны быть оборудованы необходимыми ограждениями, защитными и предохранительными устройствами и хорошо освещены.</w:t>
      </w:r>
    </w:p>
    <w:p>
      <w:pPr>
        <w:pStyle w:val="Normal"/>
        <w:tabs>
          <w:tab w:val="clear" w:pos="708"/>
          <w:tab w:val="left" w:pos="1276" w:leader="none"/>
        </w:tabs>
        <w:spacing w:lineRule="auto" w:line="276" w:before="60" w:after="0"/>
        <w:ind w:firstLine="709"/>
        <w:jc w:val="both"/>
        <w:rPr>
          <w:rFonts w:ascii="Times New Roman" w:hAnsi="Times New Roman"/>
        </w:rPr>
      </w:pPr>
      <w:r>
        <w:rPr>
          <w:rFonts w:cs="Arial" w:ascii="Times New Roman" w:hAnsi="Times New Roman"/>
        </w:rPr>
        <w:t>Машины, механизмы, инструмент и инвентарь должны соответствовать характеру выполняемой работы, находиться в исправном состоянии и в опасных местах должны быть ограждены. На всех местах, где это требуется, у машин, механизмов следует вывешивать предупредительные знаки и инструкции по технике безопасности. В процессе производства монтажных работ отходы и строительный мусор вывозятся Подрядчиком - исполнителем работ самостоятельно.</w:t>
      </w:r>
    </w:p>
    <w:p>
      <w:pPr>
        <w:pStyle w:val="Normal"/>
        <w:spacing w:lineRule="auto" w:line="276" w:before="0" w:after="0"/>
        <w:ind w:firstLine="709"/>
        <w:jc w:val="both"/>
        <w:rPr>
          <w:rFonts w:ascii="Times New Roman" w:hAnsi="Times New Roman"/>
        </w:rPr>
      </w:pPr>
      <w:r>
        <w:rPr>
          <w:rFonts w:cs="Arial" w:ascii="Times New Roman" w:hAnsi="Times New Roman"/>
        </w:rPr>
        <w:t>3.3 Работы производить в соответствии с требованиями рабочей документации, разработанной ООО «КонВеТ» - 18-2024-АР,КР</w:t>
      </w:r>
    </w:p>
    <w:p>
      <w:pPr>
        <w:pStyle w:val="Normal"/>
        <w:spacing w:lineRule="auto" w:line="276" w:before="0" w:after="0"/>
        <w:jc w:val="both"/>
        <w:rPr>
          <w:rFonts w:ascii="Times New Roman" w:hAnsi="Times New Roman"/>
        </w:rPr>
      </w:pPr>
      <w:r>
        <w:rPr>
          <w:rFonts w:cs="Arial" w:ascii="Times New Roman" w:hAnsi="Times New Roman"/>
        </w:rPr>
        <w:t xml:space="preserve">         </w:t>
      </w:r>
    </w:p>
    <w:p>
      <w:pPr>
        <w:pStyle w:val="Normal"/>
        <w:spacing w:lineRule="auto" w:line="276" w:before="0" w:after="0"/>
        <w:jc w:val="both"/>
        <w:rPr>
          <w:rFonts w:ascii="Times New Roman" w:hAnsi="Times New Roman"/>
        </w:rPr>
      </w:pPr>
      <w:r>
        <w:rPr>
          <w:rFonts w:cs="Arial" w:ascii="Times New Roman" w:hAnsi="Times New Roman"/>
        </w:rPr>
        <w:t xml:space="preserve">           </w:t>
      </w:r>
      <w:r>
        <w:rPr>
          <w:rFonts w:cs="Arial" w:ascii="Times New Roman" w:hAnsi="Times New Roman"/>
        </w:rPr>
        <w:t xml:space="preserve">3.3.2 </w:t>
      </w:r>
      <w:r>
        <w:rPr>
          <w:rFonts w:cs="Arial" w:ascii="Times New Roman" w:hAnsi="Times New Roman"/>
          <w:b/>
        </w:rPr>
        <w:t xml:space="preserve">Ответственность в части закупки материалов: </w:t>
      </w:r>
    </w:p>
    <w:p>
      <w:pPr>
        <w:pStyle w:val="Normal"/>
        <w:spacing w:lineRule="auto" w:line="276" w:before="0" w:after="0"/>
        <w:ind w:hanging="0" w:left="709"/>
        <w:jc w:val="both"/>
        <w:rPr>
          <w:rFonts w:ascii="Times New Roman" w:hAnsi="Times New Roman"/>
        </w:rPr>
      </w:pPr>
      <w:r>
        <w:rPr>
          <w:rFonts w:cs="Arial" w:ascii="Times New Roman" w:hAnsi="Times New Roman"/>
          <w:b/>
        </w:rPr>
        <w:t xml:space="preserve">        – </w:t>
      </w:r>
      <w:r>
        <w:rPr>
          <w:rFonts w:cs="Arial" w:ascii="Times New Roman" w:hAnsi="Times New Roman"/>
          <w:b/>
        </w:rPr>
        <w:t>Заказчик в полном объеме</w:t>
      </w:r>
    </w:p>
    <w:p>
      <w:pPr>
        <w:pStyle w:val="Normal"/>
        <w:spacing w:lineRule="auto" w:line="276" w:before="0" w:after="0"/>
        <w:jc w:val="both"/>
        <w:rPr>
          <w:rFonts w:ascii="Times New Roman" w:hAnsi="Times New Roman"/>
        </w:rPr>
      </w:pPr>
      <w:r>
        <w:rPr>
          <w:rFonts w:cs="Arial" w:ascii="Times New Roman" w:hAnsi="Times New Roman"/>
          <w:b/>
        </w:rPr>
        <w:t xml:space="preserve">                   </w:t>
      </w:r>
    </w:p>
    <w:p>
      <w:pPr>
        <w:pStyle w:val="Normal"/>
        <w:spacing w:lineRule="auto" w:line="276" w:before="0" w:after="0"/>
        <w:ind w:firstLine="709"/>
        <w:jc w:val="both"/>
        <w:rPr>
          <w:rFonts w:ascii="Times New Roman" w:hAnsi="Times New Roman"/>
        </w:rPr>
      </w:pPr>
      <w:r>
        <w:rPr>
          <w:rFonts w:cs="Arial" w:ascii="Times New Roman" w:hAnsi="Times New Roman"/>
        </w:rPr>
        <w:t xml:space="preserve">3.3.3. На все скрытые работы и ответственные конструкции обязательно составление актов освидетельствования и акта промежуточных работ в соответствии с Приказом Минстроя РФ от 16.05.2023 № 344/ПР об утверждении состава и порядка ведения исполнительной документации при строительстве, реконструкции, капитальном ремонте объектов капитального строительства.  </w:t>
      </w:r>
    </w:p>
    <w:p>
      <w:pPr>
        <w:pStyle w:val="Normal"/>
        <w:spacing w:lineRule="auto" w:line="276" w:before="0" w:after="0"/>
        <w:ind w:firstLine="709"/>
        <w:jc w:val="both"/>
        <w:rPr>
          <w:rFonts w:ascii="Times New Roman" w:hAnsi="Times New Roman" w:cs="Arial"/>
        </w:rPr>
      </w:pPr>
      <w:r>
        <w:rPr>
          <w:rFonts w:cs="Arial" w:ascii="Times New Roman" w:hAnsi="Times New Roman"/>
        </w:rPr>
      </w:r>
    </w:p>
    <w:p>
      <w:pPr>
        <w:pStyle w:val="Normal"/>
        <w:spacing w:lineRule="auto" w:line="276" w:before="0" w:after="0"/>
        <w:jc w:val="both"/>
        <w:rPr>
          <w:rFonts w:ascii="Times New Roman" w:hAnsi="Times New Roman"/>
        </w:rPr>
      </w:pPr>
      <w:r>
        <w:rPr>
          <w:rFonts w:cs="Arial" w:ascii="Times New Roman" w:hAnsi="Times New Roman"/>
        </w:rPr>
        <w:t>Журналы:</w:t>
      </w:r>
    </w:p>
    <w:p>
      <w:pPr>
        <w:pStyle w:val="Normal"/>
        <w:spacing w:lineRule="auto" w:line="276" w:before="0" w:after="0"/>
        <w:jc w:val="both"/>
        <w:rPr>
          <w:rFonts w:ascii="Times New Roman" w:hAnsi="Times New Roman"/>
        </w:rPr>
      </w:pPr>
      <w:r>
        <w:rPr>
          <w:rFonts w:cs="Arial" w:ascii="Times New Roman" w:hAnsi="Times New Roman"/>
        </w:rPr>
        <w:t>- общий журнал работ;</w:t>
      </w:r>
    </w:p>
    <w:p>
      <w:pPr>
        <w:pStyle w:val="Normal"/>
        <w:spacing w:lineRule="auto" w:line="276" w:before="0" w:after="0"/>
        <w:jc w:val="both"/>
        <w:rPr>
          <w:rFonts w:ascii="Times New Roman" w:hAnsi="Times New Roman"/>
        </w:rPr>
      </w:pPr>
      <w:r>
        <w:rPr>
          <w:rFonts w:cs="Arial" w:ascii="Times New Roman" w:hAnsi="Times New Roman"/>
        </w:rPr>
        <w:t>- журнал входного контроля</w:t>
      </w:r>
    </w:p>
    <w:p>
      <w:pPr>
        <w:pStyle w:val="Normal"/>
        <w:spacing w:lineRule="auto" w:line="276" w:before="0" w:after="0"/>
        <w:jc w:val="both"/>
        <w:rPr>
          <w:rFonts w:ascii="Times New Roman" w:hAnsi="Times New Roman"/>
        </w:rPr>
      </w:pPr>
      <w:r>
        <w:rPr>
          <w:rFonts w:cs="Arial" w:ascii="Times New Roman" w:hAnsi="Times New Roman"/>
        </w:rPr>
        <w:t>Исполнительные схемы по части КР, АР</w:t>
      </w:r>
    </w:p>
    <w:p>
      <w:pPr>
        <w:pStyle w:val="Normal"/>
        <w:spacing w:lineRule="auto" w:line="276" w:before="0" w:after="0"/>
        <w:jc w:val="both"/>
        <w:rPr>
          <w:rFonts w:ascii="Times New Roman" w:hAnsi="Times New Roman"/>
        </w:rPr>
      </w:pPr>
      <w:r>
        <w:rPr>
          <w:rFonts w:cs="Arial" w:ascii="Times New Roman" w:hAnsi="Times New Roman"/>
        </w:rPr>
        <w:t>Исполнительно-техническая документация:</w:t>
      </w:r>
    </w:p>
    <w:p>
      <w:pPr>
        <w:pStyle w:val="Normal"/>
        <w:spacing w:lineRule="auto" w:line="276" w:before="0" w:after="0"/>
        <w:jc w:val="both"/>
        <w:rPr>
          <w:rFonts w:ascii="Times New Roman" w:hAnsi="Times New Roman"/>
        </w:rPr>
      </w:pPr>
      <w:r>
        <w:rPr>
          <w:rFonts w:cs="Arial" w:ascii="Times New Roman" w:hAnsi="Times New Roman"/>
        </w:rPr>
        <w:t>- паспорта и сертификаты на ТМЦ;</w:t>
      </w:r>
    </w:p>
    <w:p>
      <w:pPr>
        <w:pStyle w:val="Normal"/>
        <w:spacing w:lineRule="auto" w:line="276" w:before="0" w:after="0"/>
        <w:jc w:val="both"/>
        <w:rPr>
          <w:rFonts w:ascii="Times New Roman" w:hAnsi="Times New Roman"/>
        </w:rPr>
      </w:pPr>
      <w:r>
        <w:rPr>
          <w:rFonts w:cs="Arial" w:ascii="Times New Roman" w:hAnsi="Times New Roman"/>
        </w:rPr>
        <w:t>- сертификаты качества на применяемые материалы и оборудование, санитарно-     эпидемиологические заключения, сертификаты пожарной безопасности.</w:t>
      </w:r>
    </w:p>
    <w:p>
      <w:pPr>
        <w:pStyle w:val="Normal"/>
        <w:spacing w:lineRule="auto" w:line="276" w:before="0" w:after="0"/>
        <w:jc w:val="both"/>
        <w:rPr>
          <w:rFonts w:ascii="Times New Roman" w:hAnsi="Times New Roman" w:cs="Arial"/>
        </w:rPr>
      </w:pPr>
      <w:r>
        <w:rPr>
          <w:rFonts w:cs="Arial" w:ascii="Times New Roman" w:hAnsi="Times New Roman"/>
        </w:rPr>
      </w:r>
    </w:p>
    <w:p>
      <w:pPr>
        <w:pStyle w:val="Normal"/>
        <w:spacing w:lineRule="auto" w:line="276" w:before="0" w:after="0"/>
        <w:jc w:val="both"/>
        <w:rPr>
          <w:rFonts w:ascii="Times New Roman" w:hAnsi="Times New Roman"/>
        </w:rPr>
      </w:pPr>
      <w:r>
        <w:rPr>
          <w:rFonts w:cs="Arial" w:ascii="Times New Roman" w:hAnsi="Times New Roman"/>
        </w:rPr>
        <w:t xml:space="preserve">           </w:t>
      </w:r>
      <w:r>
        <w:rPr>
          <w:rFonts w:cs="Arial" w:ascii="Times New Roman" w:hAnsi="Times New Roman"/>
        </w:rPr>
        <w:t>3.3.4.</w:t>
        <w:tab/>
        <w:t>Обеспечение производства работ материалами, инструментом, приспособлениями Подрядчик осуществляет самостоятельно. Все материалы и оборудование, поставляемые на объект, должны иметь действующие сертификаты РФ. Контроль качества материалов, используемых в строительстве, Подрядчик обеспечивает самостоятельно собственными силами. Результаты входного контроля качества материалов, используемых в строительстве, оформляются в «Журнале входного контроля качества». Журнал должен постоянно находиться на строительной площадке и по первому требованию предоставляться инженеру строительного контроля и представителям органов строительного надзора.</w:t>
      </w:r>
    </w:p>
    <w:p>
      <w:pPr>
        <w:pStyle w:val="Normal"/>
        <w:spacing w:lineRule="auto" w:line="276" w:before="60" w:after="0"/>
        <w:jc w:val="both"/>
        <w:rPr>
          <w:rFonts w:ascii="Times New Roman" w:hAnsi="Times New Roman"/>
        </w:rPr>
      </w:pPr>
      <w:r>
        <w:rPr>
          <w:rFonts w:cs="Arial" w:ascii="Times New Roman" w:hAnsi="Times New Roman"/>
        </w:rPr>
        <w:t xml:space="preserve">            </w:t>
      </w:r>
      <w:r>
        <w:rPr>
          <w:rFonts w:cs="Arial" w:ascii="Times New Roman" w:hAnsi="Times New Roman"/>
        </w:rPr>
        <w:t xml:space="preserve">3.3.5. Доставку конструкций и материалов на объект и выгрузку осуществляет </w:t>
      </w:r>
      <w:r>
        <w:rPr>
          <w:rFonts w:cs="Arial" w:ascii="Times New Roman" w:hAnsi="Times New Roman"/>
          <w:u w:val="single"/>
        </w:rPr>
        <w:t>Подрядчик</w:t>
      </w:r>
      <w:r>
        <w:rPr>
          <w:rFonts w:cs="Arial" w:ascii="Times New Roman" w:hAnsi="Times New Roman"/>
        </w:rPr>
        <w:t xml:space="preserve"> собственным транспортом. Доставку оборудования на объект осуществляет </w:t>
      </w:r>
      <w:r>
        <w:rPr>
          <w:rFonts w:cs="Arial" w:ascii="Times New Roman" w:hAnsi="Times New Roman"/>
          <w:u w:val="single"/>
        </w:rPr>
        <w:t>Заказчик</w:t>
      </w:r>
      <w:r>
        <w:rPr>
          <w:rFonts w:cs="Arial" w:ascii="Times New Roman" w:hAnsi="Times New Roman"/>
        </w:rPr>
        <w:t>.</w:t>
      </w:r>
    </w:p>
    <w:p>
      <w:pPr>
        <w:pStyle w:val="Normal"/>
        <w:spacing w:lineRule="auto" w:line="276" w:before="60" w:after="0"/>
        <w:jc w:val="both"/>
        <w:rPr>
          <w:rFonts w:ascii="Times New Roman" w:hAnsi="Times New Roman"/>
        </w:rPr>
      </w:pPr>
      <w:r>
        <w:rPr>
          <w:rFonts w:cs="Arial" w:ascii="Times New Roman" w:hAnsi="Times New Roman"/>
        </w:rPr>
        <w:t xml:space="preserve">      </w:t>
      </w:r>
      <w:r>
        <w:rPr>
          <w:rFonts w:cs="Arial" w:ascii="Times New Roman" w:hAnsi="Times New Roman"/>
        </w:rPr>
        <w:t xml:space="preserve">3.3.6. Обеспечение работ расходными материалами, грузоподъемными механизмами, инструментами, средствами индивидуальной защиты осуществляет </w:t>
      </w:r>
      <w:r>
        <w:rPr>
          <w:rFonts w:cs="Arial" w:ascii="Times New Roman" w:hAnsi="Times New Roman"/>
          <w:u w:val="single"/>
        </w:rPr>
        <w:t>Подрядчик</w:t>
      </w:r>
      <w:r>
        <w:rPr>
          <w:rFonts w:cs="Arial" w:ascii="Times New Roman" w:hAnsi="Times New Roman"/>
        </w:rPr>
        <w:t xml:space="preserve">. </w:t>
      </w:r>
    </w:p>
    <w:p>
      <w:pPr>
        <w:pStyle w:val="Normal"/>
        <w:tabs>
          <w:tab w:val="clear" w:pos="708"/>
          <w:tab w:val="left" w:pos="567" w:leader="none"/>
        </w:tabs>
        <w:spacing w:lineRule="auto" w:line="276" w:before="60" w:after="0"/>
        <w:jc w:val="both"/>
        <w:rPr>
          <w:rFonts w:ascii="Times New Roman" w:hAnsi="Times New Roman"/>
        </w:rPr>
      </w:pPr>
      <w:r>
        <w:rPr>
          <w:rFonts w:cs="Arial" w:ascii="Times New Roman" w:hAnsi="Times New Roman"/>
        </w:rPr>
        <w:t xml:space="preserve">      </w:t>
      </w:r>
      <w:r>
        <w:rPr>
          <w:rFonts w:cs="Arial" w:ascii="Times New Roman" w:hAnsi="Times New Roman"/>
        </w:rPr>
        <w:t>3.4. Последовательность и сроки выполнения работ определяются в соответствии с согласованным Сторонами графиком монтажа.</w:t>
      </w:r>
    </w:p>
    <w:p>
      <w:pPr>
        <w:pStyle w:val="Normal"/>
        <w:spacing w:lineRule="auto" w:line="276" w:before="60" w:after="0"/>
        <w:ind w:firstLine="567"/>
        <w:jc w:val="both"/>
        <w:rPr>
          <w:rFonts w:ascii="Times New Roman" w:hAnsi="Times New Roman"/>
        </w:rPr>
      </w:pPr>
      <w:r>
        <w:rPr>
          <w:rFonts w:cs="Arial" w:ascii="Times New Roman" w:hAnsi="Times New Roman"/>
        </w:rPr>
        <w:t xml:space="preserve">    </w:t>
      </w:r>
      <w:r>
        <w:rPr>
          <w:rFonts w:cs="Arial" w:ascii="Times New Roman" w:hAnsi="Times New Roman"/>
        </w:rPr>
        <w:t>3.5.  Порядок движения транспорта по строительной площадке и по территории ООО «Форте Пром Гмбх»» согласовывается с заказчиком.</w:t>
      </w:r>
    </w:p>
    <w:p>
      <w:pPr>
        <w:pStyle w:val="Normal"/>
        <w:spacing w:lineRule="auto" w:line="276" w:before="60" w:after="0"/>
        <w:ind w:firstLine="709"/>
        <w:jc w:val="both"/>
        <w:rPr>
          <w:rFonts w:ascii="Times New Roman" w:hAnsi="Times New Roman"/>
        </w:rPr>
      </w:pPr>
      <w:r>
        <w:rPr>
          <w:rFonts w:cs="Arial" w:ascii="Times New Roman" w:hAnsi="Times New Roman"/>
        </w:rPr>
        <w:t>Размещение временных зданий и сооружений Подрядчик осуществляет по согласованию с Заказчиком.</w:t>
      </w:r>
    </w:p>
    <w:p>
      <w:pPr>
        <w:pStyle w:val="Normal"/>
        <w:spacing w:lineRule="auto" w:line="276" w:before="60" w:after="0"/>
        <w:jc w:val="both"/>
        <w:rPr>
          <w:rFonts w:ascii="Times New Roman" w:hAnsi="Times New Roman"/>
        </w:rPr>
      </w:pPr>
      <w:r>
        <w:rPr>
          <w:rFonts w:cs="Arial" w:ascii="Times New Roman" w:hAnsi="Times New Roman"/>
        </w:rPr>
        <w:t xml:space="preserve">                 </w:t>
      </w:r>
      <w:r>
        <w:rPr>
          <w:rFonts w:cs="Arial" w:ascii="Times New Roman" w:hAnsi="Times New Roman"/>
        </w:rPr>
        <w:t>3.6.   Приложения к техническому заданию:</w:t>
      </w:r>
    </w:p>
    <w:p>
      <w:pPr>
        <w:pStyle w:val="Normal"/>
        <w:spacing w:lineRule="auto" w:line="276" w:before="60" w:after="0"/>
        <w:jc w:val="both"/>
        <w:rPr>
          <w:rFonts w:ascii="Times New Roman" w:hAnsi="Times New Roman" w:cs="Arial"/>
        </w:rPr>
      </w:pPr>
      <w:r>
        <w:rPr>
          <w:rFonts w:cs="Arial" w:ascii="Times New Roman" w:hAnsi="Times New Roman"/>
        </w:rPr>
      </w:r>
    </w:p>
    <w:p>
      <w:pPr>
        <w:pStyle w:val="Normal"/>
        <w:spacing w:lineRule="auto" w:line="276" w:before="0" w:after="0"/>
        <w:ind w:firstLine="709"/>
        <w:jc w:val="both"/>
        <w:rPr>
          <w:rFonts w:ascii="Times New Roman" w:hAnsi="Times New Roman"/>
        </w:rPr>
      </w:pPr>
      <w:r>
        <w:rPr>
          <w:rFonts w:cs="Arial" w:ascii="Times New Roman" w:hAnsi="Times New Roman"/>
        </w:rPr>
        <w:t xml:space="preserve">   </w:t>
      </w:r>
      <w:r>
        <w:rPr>
          <w:rFonts w:cs="Arial" w:ascii="Times New Roman" w:hAnsi="Times New Roman"/>
        </w:rPr>
        <w:t>- Приложение № 1 – рабочая документация 18-2024</w:t>
      </w:r>
      <w:r>
        <w:rPr>
          <w:rFonts w:cs="Arial" w:ascii="Times New Roman" w:hAnsi="Times New Roman"/>
          <w:bCs/>
        </w:rPr>
        <w:t xml:space="preserve">, разделы </w:t>
      </w:r>
      <w:bookmarkStart w:id="3" w:name="_GoBack"/>
      <w:bookmarkEnd w:id="3"/>
      <w:r>
        <w:rPr>
          <w:rFonts w:cs="Arial" w:ascii="Times New Roman" w:hAnsi="Times New Roman"/>
          <w:bCs/>
        </w:rPr>
        <w:t>КР, АР</w:t>
      </w:r>
    </w:p>
    <w:sectPr>
      <w:headerReference w:type="default" r:id="rId2"/>
      <w:footerReference w:type="default" r:id="rId3"/>
      <w:type w:val="nextPage"/>
      <w:pgSz w:w="11906" w:h="16838"/>
      <w:pgMar w:left="1418" w:right="851" w:gutter="0" w:header="425" w:top="1134" w:footer="709" w:bottom="1418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Segoe U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tabs>
        <w:tab w:val="clear" w:pos="9355"/>
        <w:tab w:val="center" w:pos="4677" w:leader="none"/>
        <w:tab w:val="right" w:pos="9639" w:leader="none"/>
      </w:tabs>
      <w:rPr/>
    </w:pPr>
    <w:r>
      <w:rPr/>
    </w:r>
  </w:p>
  <w:p>
    <w:pPr>
      <w:pStyle w:val="Foo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overflowPunct w:val="false"/>
      <w:spacing w:lineRule="auto" w:line="240" w:before="0" w:after="0"/>
      <w:ind w:hanging="0" w:left="6237"/>
      <w:textAlignment w:val="baseline"/>
      <w:rPr>
        <w:rFonts w:ascii="Arial" w:hAnsi="Arial" w:cs="Arial"/>
        <w:sz w:val="20"/>
        <w:szCs w:val="20"/>
      </w:rPr>
    </w:pPr>
    <w:r>
      <w:rPr>
        <w:rFonts w:cs="Arial" w:ascii="Arial" w:hAnsi="Arial"/>
        <w:sz w:val="20"/>
        <w:szCs w:val="20"/>
      </w:rPr>
    </w:r>
  </w:p>
  <w:p>
    <w:pPr>
      <w:pStyle w:val="Normal"/>
      <w:spacing w:lineRule="auto" w:line="240" w:before="0" w:after="0"/>
      <w:jc w:val="center"/>
      <w:rPr>
        <w:rFonts w:ascii="Times New Roman" w:hAnsi="Times New Roman"/>
      </w:rPr>
    </w:pPr>
    <w:r>
      <w:rPr>
        <w:rFonts w:ascii="Times New Roman" w:hAnsi="Times New Roman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"/>
      <w:lvlJc w:val="left"/>
      <w:pPr>
        <w:tabs>
          <w:tab w:val="num" w:pos="0"/>
        </w:tabs>
        <w:ind w:left="1068" w:hanging="360"/>
      </w:pPr>
      <w:rPr>
        <w:rFonts w:ascii="Symbol" w:hAnsi="Symbol" w:cs="Symbol" w:hint="default"/>
        <w:sz w:val="22"/>
        <w:i w:val="false"/>
        <w:b w:val="fals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3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8" w:hanging="180"/>
      </w:pPr>
      <w:rPr>
        <w:rFonts w:cs="Times New Roman"/>
      </w:rPr>
    </w:lvl>
  </w:abstractNum>
  <w:abstractNum w:abstractNumId="2">
    <w:lvl w:ilvl="0">
      <w:start w:val="1"/>
      <w:numFmt w:val="bullet"/>
      <w:lvlText w:val=""/>
      <w:lvlJc w:val="left"/>
      <w:pPr>
        <w:tabs>
          <w:tab w:val="num" w:pos="0"/>
        </w:tabs>
        <w:ind w:left="106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bullet"/>
      <w:lvlText w:val=""/>
      <w:lvlJc w:val="left"/>
      <w:pPr>
        <w:tabs>
          <w:tab w:val="num" w:pos="0"/>
        </w:tabs>
        <w:ind w:left="106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9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5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1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uiPriority="0" w:semiHidden="1" w:unhideWhenUsed="1" w:qFormat="1"/>
    <w:lsdException w:name="heading 3" w:locked="1" w:uiPriority="0" w:semiHidden="1" w:unhideWhenUsed="1" w:qFormat="1"/>
    <w:lsdException w:name="heading 4" w:locked="1" w:uiPriority="0" w:semiHidden="1" w:unhideWhenUsed="1" w:qFormat="1"/>
    <w:lsdException w:name="heading 5" w:locked="1" w:uiPriority="0" w:semiHidden="1" w:unhideWhenUsed="1" w:qFormat="1"/>
    <w:lsdException w:name="heading 6" w:locked="1" w:uiPriority="0" w:semiHidden="1" w:unhideWhenUsed="1" w:qFormat="1"/>
    <w:lsdException w:name="heading 7" w:locked="1" w:uiPriority="0" w:semiHidden="1" w:unhideWhenUsed="1" w:qFormat="1"/>
    <w:lsdException w:name="heading 8" w:locked="1" w:uiPriority="0" w:semiHidden="1" w:unhideWhenUsed="1" w:qFormat="1"/>
    <w:lsdException w:name="heading 9" w:locked="1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styleId="Normal" w:default="1">
    <w:name w:val="Normal"/>
    <w:qFormat/>
    <w:rsid w:val="00683f8f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Times New Roman" w:cs="Times New Roman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Нижний колонтитул Знак"/>
    <w:uiPriority w:val="99"/>
    <w:qFormat/>
    <w:locked/>
    <w:rsid w:val="00107a0a"/>
    <w:rPr>
      <w:rFonts w:ascii="Calibri" w:hAnsi="Calibri" w:cs="Times New Roman"/>
      <w:sz w:val="20"/>
      <w:szCs w:val="20"/>
    </w:rPr>
  </w:style>
  <w:style w:type="character" w:styleId="Hyperlink">
    <w:name w:val="Hyperlink"/>
    <w:uiPriority w:val="99"/>
    <w:rsid w:val="00321722"/>
    <w:rPr>
      <w:rFonts w:cs="Times New Roman"/>
      <w:color w:val="000000"/>
      <w:u w:val="none"/>
      <w:effect w:val="none"/>
    </w:rPr>
  </w:style>
  <w:style w:type="character" w:styleId="Style15" w:customStyle="1">
    <w:name w:val="Верхний колонтитул Знак"/>
    <w:basedOn w:val="DefaultParagraphFont"/>
    <w:uiPriority w:val="99"/>
    <w:qFormat/>
    <w:rsid w:val="003100b0"/>
    <w:rPr>
      <w:sz w:val="22"/>
      <w:szCs w:val="22"/>
    </w:rPr>
  </w:style>
  <w:style w:type="character" w:styleId="Style16" w:customStyle="1">
    <w:name w:val="Текст выноски Знак"/>
    <w:basedOn w:val="DefaultParagraphFont"/>
    <w:link w:val="BalloonText"/>
    <w:uiPriority w:val="99"/>
    <w:semiHidden/>
    <w:qFormat/>
    <w:rsid w:val="001258b4"/>
    <w:rPr>
      <w:rFonts w:ascii="Segoe UI" w:hAnsi="Segoe UI" w:cs="Segoe UI"/>
      <w:sz w:val="18"/>
      <w:szCs w:val="18"/>
    </w:rPr>
  </w:style>
  <w:style w:type="character" w:styleId="Style17">
    <w:name w:val="Символ нумерации"/>
    <w:qFormat/>
    <w:rPr/>
  </w:style>
  <w:style w:type="paragraph" w:styleId="Style18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Arial"/>
    </w:rPr>
  </w:style>
  <w:style w:type="paragraph" w:styleId="Style20">
    <w:name w:val="Колонтитул"/>
    <w:basedOn w:val="Normal"/>
    <w:qFormat/>
    <w:pPr/>
    <w:rPr/>
  </w:style>
  <w:style w:type="paragraph" w:styleId="Footer">
    <w:name w:val="Footer"/>
    <w:basedOn w:val="Normal"/>
    <w:link w:val="Style14"/>
    <w:uiPriority w:val="99"/>
    <w:rsid w:val="00107a0a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>
      <w:sz w:val="20"/>
      <w:szCs w:val="20"/>
    </w:rPr>
  </w:style>
  <w:style w:type="paragraph" w:styleId="NoSpacing">
    <w:name w:val="No Spacing"/>
    <w:uiPriority w:val="99"/>
    <w:qFormat/>
    <w:rsid w:val="00107a0a"/>
    <w:pPr>
      <w:widowControl/>
      <w:suppressAutoHyphens w:val="true"/>
      <w:bidi w:val="0"/>
      <w:spacing w:before="0" w:after="0"/>
      <w:jc w:val="left"/>
    </w:pPr>
    <w:rPr>
      <w:rFonts w:ascii="Calibri" w:hAnsi="Calibri" w:eastAsia="Times New Roman" w:cs="Times New Roman"/>
      <w:color w:val="auto"/>
      <w:kern w:val="0"/>
      <w:sz w:val="22"/>
      <w:szCs w:val="22"/>
      <w:lang w:val="ru-RU" w:eastAsia="en-US" w:bidi="ar-SA"/>
    </w:rPr>
  </w:style>
  <w:style w:type="paragraph" w:styleId="Header">
    <w:name w:val="Header"/>
    <w:basedOn w:val="Normal"/>
    <w:link w:val="Style15"/>
    <w:uiPriority w:val="99"/>
    <w:unhideWhenUsed/>
    <w:rsid w:val="003100b0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Style16"/>
    <w:uiPriority w:val="99"/>
    <w:semiHidden/>
    <w:unhideWhenUsed/>
    <w:qFormat/>
    <w:rsid w:val="001258b4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a4519"/>
    <w:pPr>
      <w:spacing w:before="0" w:after="200"/>
      <w:ind w:hanging="0" w:left="720"/>
      <w:contextualSpacing/>
    </w:pPr>
    <w:rPr/>
  </w:style>
  <w:style w:type="paragraph" w:styleId="Standard">
    <w:name w:val="Standard"/>
    <w:qFormat/>
    <w:pPr>
      <w:widowControl w:val="false"/>
      <w:suppressAutoHyphens w:val="tru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SimSun" w:cs="Mangal"/>
      <w:color w:val="auto"/>
      <w:kern w:val="2"/>
      <w:sz w:val="24"/>
      <w:szCs w:val="24"/>
      <w:lang w:val="ru-RU" w:eastAsia="zh-CN" w:bidi="hi-IN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Application>LibreOffice/7.6.6.3$Windows_X86_64 LibreOffice_project/d97b2716a9a4a2ce1391dee1765565ea469b0ae7</Application>
  <AppVersion>15.0000</AppVersion>
  <Pages>3</Pages>
  <Words>911</Words>
  <Characters>6426</Characters>
  <CharactersWithSpaces>7369</CharactersWithSpaces>
  <Paragraphs>86</Paragraphs>
  <Company>PJSC PLASTKARD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2023-11-29T10:40:00Z</dcterms:created>
  <dc:creator>Trofimov_m</dc:creator>
  <dc:description/>
  <dc:language>ru-RU</dc:language>
  <cp:lastModifiedBy/>
  <cp:lastPrinted>2024-02-22T09:34:00Z</cp:lastPrinted>
  <dcterms:modified xsi:type="dcterms:W3CDTF">2025-03-25T09:49:59Z</dcterms:modified>
  <cp:revision>34</cp:revision>
  <dc:subject/>
  <dc:title>УТВЕРЖДАЮ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